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21A56">
      <w:pPr>
        <w:spacing w:line="600" w:lineRule="exact"/>
        <w:jc w:val="center"/>
        <w:rPr>
          <w:rFonts w:ascii="方正小标宋简体" w:hAnsi="方正小标宋简体" w:eastAsia="方正小标宋简体" w:cs="黑体"/>
          <w:sz w:val="44"/>
          <w:szCs w:val="44"/>
        </w:rPr>
      </w:pPr>
    </w:p>
    <w:p w14:paraId="4F313865">
      <w:pPr>
        <w:spacing w:line="600" w:lineRule="exact"/>
        <w:jc w:val="center"/>
        <w:rPr>
          <w:rFonts w:ascii="方正小标宋简体" w:hAnsi="方正小标宋简体" w:eastAsia="方正小标宋简体" w:cs="黑体"/>
          <w:sz w:val="44"/>
          <w:szCs w:val="44"/>
        </w:rPr>
      </w:pPr>
    </w:p>
    <w:p w14:paraId="3D4A4318">
      <w:pPr>
        <w:spacing w:line="600" w:lineRule="exact"/>
        <w:rPr>
          <w:rFonts w:ascii="仿宋_GB2312" w:hAnsi="Calibri" w:eastAsia="仿宋_GB2312" w:cs="Calibri"/>
          <w:b/>
          <w:szCs w:val="36"/>
          <w:lang w:eastAsia="zh-CN"/>
        </w:rPr>
      </w:pP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917575</wp:posOffset>
                </wp:positionV>
                <wp:extent cx="2552700" cy="1772285"/>
                <wp:effectExtent l="0" t="0" r="0" b="18415"/>
                <wp:wrapSquare wrapText="bothSides"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14:paraId="7EC2F958">
                            <w:pPr>
                              <w:spacing w:line="480" w:lineRule="exact"/>
                              <w:jc w:val="center"/>
                              <w:rPr>
                                <w:rFonts w:ascii="仿宋_GB2312" w:eastAsia="仿宋_GB2312"/>
                                <w:bCs/>
                                <w:spacing w:val="-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Cs/>
                                <w:spacing w:val="-20"/>
                                <w:sz w:val="32"/>
                                <w:szCs w:val="32"/>
                              </w:rPr>
                              <w:t>湘商职院发</w:t>
                            </w:r>
                            <w:r>
                              <w:rPr>
                                <w:rFonts w:ascii="Times New Roman" w:hAnsi="Times New Roman" w:eastAsia="仿宋_GB2312" w:cs="Times New Roman"/>
                                <w:bCs/>
                                <w:spacing w:val="-20"/>
                                <w:sz w:val="32"/>
                                <w:szCs w:val="32"/>
                              </w:rPr>
                              <w:t>〔2026〕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Cs/>
                                <w:spacing w:val="-20"/>
                                <w:sz w:val="32"/>
                                <w:szCs w:val="32"/>
                                <w:lang w:val="en-US" w:eastAsia="zh-CN"/>
                              </w:rPr>
                              <w:t>46</w:t>
                            </w:r>
                            <w:r>
                              <w:rPr>
                                <w:rFonts w:ascii="Times New Roman" w:hAnsi="Times New Roman" w:eastAsia="仿宋_GB2312" w:cs="Times New Roman"/>
                                <w:bCs/>
                                <w:spacing w:val="-20"/>
                                <w:sz w:val="32"/>
                                <w:szCs w:val="32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124.95pt;margin-top:72.25pt;height:139.55pt;width:201pt;mso-wrap-distance-bottom:3.6pt;mso-wrap-distance-left:9pt;mso-wrap-distance-right:9pt;mso-wrap-distance-top:3.6pt;z-index:251660288;mso-width-relative:page;mso-height-relative:margin;mso-height-percent:200;" fillcolor="#FFFFFF" filled="t" stroked="f" coordsize="21600,21600" o:gfxdata="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NG3/itkAAAALAQAADwAAAAAAAAABACAAAAAiAAAA&#10;ZHJzL2Rvd25yZXYueG1sUEsBAhQAFAAAAAgAh07iQFP5tTU/AgAAYAQAAA4AAAAAAAAAAQAgAAAA&#10;KAEAAGRycy9lMm9Eb2MueG1sUEsFBgAAAAAGAAYAWQEAANkFAAAAAA=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7EC2F958">
                      <w:pPr>
                        <w:spacing w:line="480" w:lineRule="exact"/>
                        <w:jc w:val="center"/>
                        <w:rPr>
                          <w:rFonts w:ascii="仿宋_GB2312" w:eastAsia="仿宋_GB2312"/>
                          <w:bCs/>
                          <w:spacing w:val="-2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bCs/>
                          <w:spacing w:val="-20"/>
                          <w:sz w:val="32"/>
                          <w:szCs w:val="32"/>
                        </w:rPr>
                        <w:t>湘商职院发</w:t>
                      </w:r>
                      <w:r>
                        <w:rPr>
                          <w:rFonts w:ascii="Times New Roman" w:hAnsi="Times New Roman" w:eastAsia="仿宋_GB2312" w:cs="Times New Roman"/>
                          <w:bCs/>
                          <w:spacing w:val="-20"/>
                          <w:sz w:val="32"/>
                          <w:szCs w:val="32"/>
                        </w:rPr>
                        <w:t>〔2026〕</w:t>
                      </w:r>
                      <w:r>
                        <w:rPr>
                          <w:rFonts w:hint="eastAsia" w:ascii="Times New Roman" w:hAnsi="Times New Roman" w:cs="Times New Roman"/>
                          <w:bCs/>
                          <w:spacing w:val="-20"/>
                          <w:sz w:val="32"/>
                          <w:szCs w:val="32"/>
                          <w:lang w:val="en-US" w:eastAsia="zh-CN"/>
                        </w:rPr>
                        <w:t>46</w:t>
                      </w:r>
                      <w:r>
                        <w:rPr>
                          <w:rFonts w:ascii="Times New Roman" w:hAnsi="Times New Roman" w:eastAsia="仿宋_GB2312" w:cs="Times New Roman"/>
                          <w:bCs/>
                          <w:spacing w:val="-20"/>
                          <w:sz w:val="32"/>
                          <w:szCs w:val="32"/>
                        </w:rPr>
                        <w:t>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-139700</wp:posOffset>
            </wp:positionH>
            <wp:positionV relativeFrom="paragraph">
              <wp:posOffset>109855</wp:posOffset>
            </wp:positionV>
            <wp:extent cx="5943600" cy="1644650"/>
            <wp:effectExtent l="0" t="0" r="0" b="12700"/>
            <wp:wrapTopAndBottom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4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D36A3E">
      <w:pPr>
        <w:spacing w:line="600" w:lineRule="exact"/>
        <w:jc w:val="center"/>
        <w:rPr>
          <w:rFonts w:hint="eastAsia"/>
          <w:b/>
          <w:sz w:val="44"/>
          <w:szCs w:val="44"/>
        </w:rPr>
      </w:pPr>
    </w:p>
    <w:p w14:paraId="69F5180E">
      <w:pPr>
        <w:widowControl/>
        <w:shd w:val="clear" w:color="auto" w:fill="auto"/>
        <w:kinsoku/>
        <w:autoSpaceDE/>
        <w:autoSpaceDN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spacing w:val="-23"/>
          <w:kern w:val="2"/>
          <w:sz w:val="44"/>
          <w:szCs w:val="44"/>
          <w:lang w:eastAsia="zh-CN"/>
        </w:rPr>
        <w:t>关于印发《湖南商务职业技术学院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大学生</w:t>
      </w:r>
    </w:p>
    <w:p w14:paraId="2161FC4E">
      <w:pPr>
        <w:widowControl/>
        <w:shd w:val="clear" w:color="auto" w:fill="auto"/>
        <w:kinsoku/>
        <w:autoSpaceDE/>
        <w:autoSpaceDN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创业基金管理办法（修订）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2"/>
          <w:sz w:val="44"/>
          <w:szCs w:val="44"/>
          <w:lang w:eastAsia="zh-CN"/>
        </w:rPr>
        <w:t>》的通知</w:t>
      </w:r>
    </w:p>
    <w:p w14:paraId="55FDCF7E">
      <w:pPr>
        <w:spacing w:line="600" w:lineRule="exact"/>
        <w:ind w:firstLine="72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33B6513D">
      <w:pPr>
        <w:widowControl/>
        <w:kinsoku/>
        <w:wordWrap/>
        <w:autoSpaceDE/>
        <w:autoSpaceDN/>
        <w:adjustRightInd/>
        <w:snapToGrid/>
        <w:spacing w:line="600" w:lineRule="exact"/>
        <w:ind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各部门：</w:t>
      </w:r>
    </w:p>
    <w:p w14:paraId="3130928C">
      <w:pPr>
        <w:widowControl/>
        <w:kinsoku/>
        <w:wordWrap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现将《湖南商务职业技术学院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大学生创业基金管理办法（修订）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》印发给你们，请遵照执行。</w:t>
      </w:r>
    </w:p>
    <w:p w14:paraId="273804AD">
      <w:pPr>
        <w:spacing w:line="600" w:lineRule="exact"/>
        <w:ind w:firstLine="640" w:firstLineChars="200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 w14:paraId="2B1829D5">
      <w:pPr>
        <w:spacing w:line="600" w:lineRule="exact"/>
        <w:ind w:firstLine="640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 w14:paraId="590997B6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湖南商务职业技术学院</w:t>
      </w:r>
    </w:p>
    <w:p w14:paraId="15817D0A"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600" w:lineRule="exact"/>
        <w:jc w:val="center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1907" w:h="16839"/>
          <w:pgMar w:top="1431" w:right="1785" w:bottom="1156" w:left="1785" w:header="0" w:footer="956" w:gutter="0"/>
          <w:pgNumType w:fmt="decimal"/>
          <w:cols w:space="720" w:num="1"/>
        </w:sect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7BC6D1A9">
      <w:pPr>
        <w:spacing w:before="0" w:after="0" w:line="600" w:lineRule="exact"/>
        <w:ind w:lef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湖南商务职业技术学院大学生创业基金</w:t>
      </w:r>
    </w:p>
    <w:p w14:paraId="092FF4C3">
      <w:pPr>
        <w:spacing w:before="0" w:after="0" w:line="600" w:lineRule="exact"/>
        <w:ind w:left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管理办法（修订）</w:t>
      </w:r>
    </w:p>
    <w:p w14:paraId="41FB530A">
      <w:pPr>
        <w:spacing w:before="0" w:beforeLines="100" w:after="0" w:afterLines="100" w:line="600" w:lineRule="exact"/>
        <w:ind w:left="0"/>
        <w:jc w:val="center"/>
        <w:outlineLvl w:val="0"/>
        <w:rPr>
          <w:rFonts w:hint="default" w:ascii="黑体" w:hAnsi="黑体" w:eastAsia="黑体" w:cs="黑体"/>
          <w:b w:val="0"/>
          <w:bCs/>
          <w:sz w:val="32"/>
          <w:szCs w:val="32"/>
        </w:rPr>
      </w:pPr>
      <w:bookmarkStart w:id="0" w:name="heading_0"/>
      <w:r>
        <w:rPr>
          <w:rFonts w:hint="default" w:ascii="黑体" w:hAnsi="黑体" w:eastAsia="黑体" w:cs="黑体"/>
          <w:b w:val="0"/>
          <w:bCs/>
          <w:sz w:val="32"/>
          <w:szCs w:val="32"/>
        </w:rPr>
        <w:t xml:space="preserve">第一章 </w:t>
      </w:r>
      <w:r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黑体" w:hAnsi="黑体" w:eastAsia="黑体" w:cs="黑体"/>
          <w:b w:val="0"/>
          <w:bCs/>
          <w:sz w:val="32"/>
          <w:szCs w:val="32"/>
        </w:rPr>
        <w:t>总</w:t>
      </w:r>
      <w:r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黑体" w:hAnsi="黑体" w:eastAsia="黑体" w:cs="黑体"/>
          <w:b w:val="0"/>
          <w:bCs/>
          <w:sz w:val="32"/>
          <w:szCs w:val="32"/>
        </w:rPr>
        <w:t>则</w:t>
      </w:r>
      <w:bookmarkEnd w:id="0"/>
    </w:p>
    <w:p w14:paraId="06A97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第一条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为鼓励和支持湖南商务职业技术学院在籍在册学生自主创业，培养创新创业人才，落实国家“以创业带动就业”发展战略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及《湖南省大力支持大学生创业若干政策措施》等文件精神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，特设立湖南商务职业技术学院大学生创业基金（以下简称“创业基金”）。为规范创业基金的使用和管理，保障安全、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规范、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高效运行，特修订本办法。</w:t>
      </w:r>
    </w:p>
    <w:p w14:paraId="4F540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</w:rPr>
        <w:t>第二条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创业基金的宗旨：立足学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办学特色，衔接湖南省大学生创业扶持相关政策，在湖南商务职业技术学院范围内（学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场地有限时，鼓励学生在学校周边合规租用场地创业），激励在校在籍在册大学生创业积极性，强化创业意识，提升大学生创业能力和综合素质，着力提高大学生创业实践能力和创业成功率，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进一步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完善学院创业服务体系，助力大学生创业。</w:t>
      </w:r>
    </w:p>
    <w:p w14:paraId="65DEC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</w:rPr>
        <w:t>第三条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创业基金的性质：是扶持我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生自主创业、鼓励学生创新创业的专项资金，属于非盈利性专项基金，遵循规范化、制度化、专业化原则，衔接省级就业创业基金管理要求，兼顾公益性与规范性，专项用于学生创业扶持与奖励，不得挪作他用。</w:t>
      </w:r>
    </w:p>
    <w:p w14:paraId="23AD1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</w:rPr>
        <w:t>第四条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创业基金的使用原则：严格按照“公开公正、专业评审、择优扶持、专款专用、绩效导向、容错适度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、尽职免责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”的原则使用和管理。</w:t>
      </w:r>
    </w:p>
    <w:p w14:paraId="5CF051DB">
      <w:pPr>
        <w:spacing w:before="0" w:beforeLines="100" w:after="0" w:afterLines="100" w:line="600" w:lineRule="exact"/>
        <w:ind w:left="0"/>
        <w:jc w:val="center"/>
        <w:outlineLvl w:val="0"/>
        <w:rPr>
          <w:rFonts w:hint="default" w:ascii="黑体" w:hAnsi="黑体" w:eastAsia="黑体" w:cs="黑体"/>
          <w:b w:val="0"/>
          <w:bCs/>
          <w:sz w:val="32"/>
          <w:szCs w:val="32"/>
        </w:rPr>
      </w:pPr>
      <w:bookmarkStart w:id="1" w:name="heading_1"/>
      <w:r>
        <w:rPr>
          <w:rFonts w:hint="default" w:ascii="黑体" w:hAnsi="黑体" w:eastAsia="黑体" w:cs="黑体"/>
          <w:b w:val="0"/>
          <w:bCs/>
          <w:sz w:val="32"/>
          <w:szCs w:val="32"/>
        </w:rPr>
        <w:t>第</w:t>
      </w:r>
      <w:r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  <w:t>二</w:t>
      </w:r>
      <w:r>
        <w:rPr>
          <w:rFonts w:hint="default" w:ascii="黑体" w:hAnsi="黑体" w:eastAsia="黑体" w:cs="黑体"/>
          <w:b w:val="0"/>
          <w:bCs/>
          <w:sz w:val="32"/>
          <w:szCs w:val="32"/>
        </w:rPr>
        <w:t xml:space="preserve">章 </w:t>
      </w:r>
      <w:r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黑体" w:hAnsi="黑体" w:eastAsia="黑体" w:cs="黑体"/>
          <w:b w:val="0"/>
          <w:bCs/>
          <w:sz w:val="32"/>
          <w:szCs w:val="32"/>
        </w:rPr>
        <w:t>管理机构与职能</w:t>
      </w:r>
    </w:p>
    <w:p w14:paraId="1F8D2B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第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湖南商务职业技术学院设立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创业基金管理委员会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以下简称“管委会”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作为创业基金的领导管理机构，负责创业基金的年度计划安排、争取社会及省级经费支持、立项审批、监督管理、绩效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价、容错纠错等重大事项决策。</w:t>
      </w:r>
    </w:p>
    <w:p w14:paraId="20D487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</w:rPr>
        <w:t>第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</w:rPr>
        <w:t>条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管委会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由学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校校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长、分管副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校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长以及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创业书院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、二级学院、财务处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纪检监察处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主要负责人组成。</w:t>
      </w:r>
    </w:p>
    <w:p w14:paraId="01F844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</w:rPr>
        <w:t>第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七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</w:rPr>
        <w:t>条</w:t>
      </w:r>
      <w:r>
        <w:rPr>
          <w:rFonts w:hint="default" w:ascii="楷体_GB2312" w:hAnsi="楷体_GB2312" w:eastAsia="楷体_GB2312" w:cs="楷体_GB2312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管委会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下设办公室，办公室设在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创业书院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创业书院院长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兼任办公室主任，负责创业基金的日常管理工作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包括：</w:t>
      </w:r>
    </w:p>
    <w:p w14:paraId="78E23B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 编制创业基金操作规范、评审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评奖及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绩效评价细则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与流程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，受理创业基金的申请、咨询工作，对接省级大学生创业项目库，推送优质创业项目；</w:t>
      </w:r>
    </w:p>
    <w:p w14:paraId="5A18D2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 组织开展申报材料初审、项目评审、实地核查工作，对资金使用情况进行跟踪监督，及时发现并纠正违规使用行为；</w:t>
      </w:r>
    </w:p>
    <w:p w14:paraId="57C1C6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 与学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财务处定期对账，编制基金收支报表、年度使用报告及绩效评价报告；</w:t>
      </w:r>
    </w:p>
    <w:p w14:paraId="49B8C9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 负责创业项目的评估、评优与奖励落实工作；</w:t>
      </w:r>
    </w:p>
    <w:p w14:paraId="0EEFC6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 负责解答捐资人的咨询或查询，管理捐赠台账，定期向社会及捐资人公示基金使用情况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235FCE5">
      <w:pPr>
        <w:spacing w:before="0" w:beforeLines="100" w:after="0" w:afterLines="100" w:line="600" w:lineRule="exact"/>
        <w:ind w:left="0"/>
        <w:jc w:val="center"/>
        <w:outlineLvl w:val="0"/>
        <w:rPr>
          <w:rFonts w:hint="default" w:ascii="黑体" w:hAnsi="黑体" w:eastAsia="黑体" w:cs="黑体"/>
          <w:bCs/>
          <w:sz w:val="32"/>
          <w:szCs w:val="32"/>
        </w:rPr>
      </w:pPr>
      <w:r>
        <w:rPr>
          <w:rFonts w:hint="default" w:ascii="黑体" w:hAnsi="黑体" w:eastAsia="黑体" w:cs="黑体"/>
          <w:b w:val="0"/>
          <w:bCs/>
          <w:sz w:val="32"/>
          <w:szCs w:val="32"/>
        </w:rPr>
        <w:t>第</w:t>
      </w:r>
      <w:r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  <w:t>三</w:t>
      </w:r>
      <w:r>
        <w:rPr>
          <w:rFonts w:hint="default" w:ascii="黑体" w:hAnsi="黑体" w:eastAsia="黑体" w:cs="黑体"/>
          <w:b w:val="0"/>
          <w:bCs/>
          <w:sz w:val="32"/>
          <w:szCs w:val="32"/>
        </w:rPr>
        <w:t xml:space="preserve">章 </w:t>
      </w:r>
      <w:r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黑体" w:hAnsi="黑体" w:eastAsia="黑体" w:cs="黑体"/>
          <w:b w:val="0"/>
          <w:bCs/>
          <w:sz w:val="32"/>
          <w:szCs w:val="32"/>
        </w:rPr>
        <w:t>资金来源与用途</w:t>
      </w:r>
      <w:bookmarkEnd w:id="1"/>
    </w:p>
    <w:p w14:paraId="64A1EC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</w:rPr>
        <w:t>第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八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资金来源主要包括：政府各级部门（省、市、区人社、财政、教育等部门）拨入的各类创新创业专款、就业创业扶持资金；学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预算中核定的学生创业专项资金；社会各类用于学生创业的捐赠资金、校友捐赠资金。</w:t>
      </w:r>
    </w:p>
    <w:p w14:paraId="305F4C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向社会公开基金收款账户信息，依法接纳校友及社会各界的捐赠资金，建立捐赠台账，定期向捐资人及省级相关主管部门报备资金收支情况，接受监督。对捐赠方给予以下激励：颁发捐赠证书、在学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创业网站公开致谢、年度基金使用报告中列名鸣谢；单笔捐赠超过5万元的，可享有指定项目冠名权或优先参与创业项目路演活动。当年未使用的捐赠资金自动结转下一年度使用，不得返还捐赠人。</w:t>
      </w:r>
    </w:p>
    <w:p w14:paraId="0A0BBF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</w:rPr>
        <w:t>第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九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创业基金使用范畴严格遵循省级相关管理办法，为符合本办法规定条件、通过学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评审的创业个人或团队提供资金支持，重点支持具有创新性、可操作性和市场潜力的初创项目，具体分为两部分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60999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 创业扶持基金：用于扶持初创企业（已完成工商注册或合规备案）的运营发展，包括场地租赁、设备采购、原材料购置等合理开支，由项目法人申报，经相关部门核实后，由学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财务直接划拨至该项目主体账户，属于无偿扶持，无须偿还；扶持重点向具有我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专业特色、契合湖南“4×4”现代化产业体系的项目倾斜，积极响应省级支持大学生创业政策导向。</w:t>
      </w:r>
    </w:p>
    <w:p w14:paraId="660BEF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 创业奖励基金：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管委会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创业园考核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，对创业项目进行年度考核，对考核优秀（考核成绩90分及以上）的项目、创业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团队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进行奖励；同时，对接省级大学生创业竞赛奖励政策，对在国家级、省级创业竞赛中获奖的创业团队给予配套奖励。</w:t>
      </w:r>
    </w:p>
    <w:p w14:paraId="143A00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获得学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创业基金支持的创业团队，应严格遵守国家相关法律、法规及湖南省就业创业、创业投资相关政策，合法合规经营，主动接受学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及省级相关部门的监督。鼓励获得资助且经营良好的团队向基金自愿捐赠，但不得以任何形式强制或变相要求返还。学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对自愿捐赠的团队颁发荣誉证书。</w:t>
      </w:r>
    </w:p>
    <w:p w14:paraId="23EBB3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于恶意套取基金、获取基金后消极创业或违规使用基金的，一经核实，本基金管理机构将立即收回资助基金，取消其创业扶持资格，并记入学生信用档案；对于造成基金损失的，同时依法追究申请人（团队）的相关责任。收回的资金用于补充基金，不得挪作他用。</w:t>
      </w:r>
    </w:p>
    <w:p w14:paraId="7FFCABFD">
      <w:pPr>
        <w:spacing w:before="0" w:beforeLines="100" w:after="0" w:afterLines="100" w:line="600" w:lineRule="exact"/>
        <w:ind w:left="0"/>
        <w:jc w:val="center"/>
        <w:outlineLvl w:val="0"/>
        <w:rPr>
          <w:rFonts w:hint="default" w:ascii="黑体" w:hAnsi="黑体" w:eastAsia="黑体" w:cs="黑体"/>
          <w:b w:val="0"/>
          <w:bCs/>
          <w:sz w:val="32"/>
          <w:szCs w:val="32"/>
        </w:rPr>
      </w:pPr>
      <w:bookmarkStart w:id="2" w:name="heading_3"/>
      <w:r>
        <w:rPr>
          <w:rFonts w:hint="default" w:ascii="黑体" w:hAnsi="黑体" w:eastAsia="黑体" w:cs="黑体"/>
          <w:b w:val="0"/>
          <w:bCs/>
          <w:sz w:val="32"/>
          <w:szCs w:val="32"/>
        </w:rPr>
        <w:t xml:space="preserve">第四章 </w:t>
      </w:r>
      <w:r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黑体" w:hAnsi="黑体" w:eastAsia="黑体" w:cs="黑体"/>
          <w:b w:val="0"/>
          <w:bCs/>
          <w:sz w:val="32"/>
          <w:szCs w:val="32"/>
        </w:rPr>
        <w:t>申请创业基金与审批</w:t>
      </w:r>
      <w:bookmarkEnd w:id="2"/>
    </w:p>
    <w:p w14:paraId="69BBC4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</w:rPr>
        <w:t>第十条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创业基金支持额度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231956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 扶持基金金额：单个创业项目扶持资金不超过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000元，重点扶持种子期、初创期项目；对具有较强创新性、市场潜力大且契合湖南重点产业方向的项目，可适当提高扶持额度，最高不超过10000元，需报管委会审议通过。</w:t>
      </w:r>
    </w:p>
    <w:p w14:paraId="51168A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 奖励基金金额：优秀创业项目奖金每项目2000元。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考核成绩90分及以上，同时符合省级大学生优秀创业项目相关评价标准，无违规经营、资金使用不规范等情况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的项目可申请参评奖励基金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获奖名额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不超过当年参评项目数的15%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向具有专业特色、创新性强、带动就业效果明显的项目倾斜。</w:t>
      </w:r>
    </w:p>
    <w:p w14:paraId="04A6B4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</w:rPr>
        <w:t>第十一条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基金申报人或项目的基本条件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0CF3D0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 申报人须为湖南商务职业技术学院在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学生，品质优良，遵纪守法，无拖欠学费、违规违纪违法记录，无不良信用记录。</w:t>
      </w:r>
    </w:p>
    <w:p w14:paraId="04432C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 项目负责人有较强的组织协调管理能力、创业意识和责任意识，创业团队结构合理、分工明确、协作性强，具备相应的创业能力和风险承受能力。</w:t>
      </w:r>
    </w:p>
    <w:p w14:paraId="2519C4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 创业项目须具有我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专业特色，契合湖南产业发展方向，具有创新性、可操作性、可持续性，有一定的市场潜力和发展空间。</w:t>
      </w:r>
    </w:p>
    <w:p w14:paraId="1A416F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 创业团队应有一定的项目启动资金或相应的风险承受能力，已完成工商注册或合规备案的项目优先扶持；未注册的初创项目，需提供明确的注册计划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并承诺如期实施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2C8614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 创业项目未获得其他省级、市级同类创业扶持资金，若已获得，需如实申报，管委会结合实际情况统筹安排扶持或奖励，避免重复资助。</w:t>
      </w:r>
    </w:p>
    <w:p w14:paraId="06D6B2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</w:rPr>
        <w:t>第十二条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扶持基金申报资料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890DF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 《湖南商务职业技术学院创业计划书》（包含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但不限于：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项目可行性分析、资金使用计划、发展规划、风险评估及应对措施）；</w:t>
      </w:r>
    </w:p>
    <w:p w14:paraId="23EF02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 《湖南商务职业技术学院大学生创业扶持基金申请表》（需经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申请学生或指导教师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审核盖章）；</w:t>
      </w:r>
    </w:p>
    <w:p w14:paraId="1CEFDB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 申请者身份证、学生证复印件，创业团队成员相关证明材料；</w:t>
      </w:r>
    </w:p>
    <w:p w14:paraId="72B5AF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 已进行工商注册的项目，需提供营业执照、税务登记证（或三证合一证件）复印件；未注册的项目，需提供注册计划及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承诺函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 w14:paraId="0CD837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</w:rPr>
        <w:t>第十三条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基金申报程序严格遵循“公开、公平、公正”原则，申报流程具体如下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2D6A4D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 申报：申请人向所在二级学院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或指导教师所在部门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提交申报材料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进行初步审核（审核申报人资格、项目合规性等）后，统一报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创业书院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 w14:paraId="0954C9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 初审：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创业书院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受理申报材料后，在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个工作日内完成材料初审，对材料不齐全的，通知申请人补充完善；对不符合申报条件的，书面说明理由并退回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同时减少报送部门的申报名额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 w14:paraId="2832F2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 评审：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由管委会评审；</w:t>
      </w:r>
    </w:p>
    <w:p w14:paraId="50F640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 公示：经评审通过的拟资助、拟奖励对象，由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创业书院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进行公示，公示期为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个工作日；公示期间，接受师生及社会监督，对有异议的项目，基金办及时核实处理；</w:t>
      </w:r>
    </w:p>
    <w:p w14:paraId="02F34F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 核准：公示无异议的，由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创业书院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联合财务处发放核准通知书；</w:t>
      </w:r>
    </w:p>
    <w:p w14:paraId="569702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 拨付：财务处根据核准通知书及资金使用计划，在5个工作日内完成资金拨付。</w:t>
      </w:r>
    </w:p>
    <w:p w14:paraId="59F9C356">
      <w:pPr>
        <w:spacing w:before="0" w:beforeLines="100" w:after="0" w:afterLines="100" w:line="600" w:lineRule="exact"/>
        <w:ind w:left="0"/>
        <w:jc w:val="center"/>
        <w:outlineLvl w:val="0"/>
        <w:rPr>
          <w:rFonts w:hint="default" w:ascii="黑体" w:hAnsi="黑体" w:eastAsia="黑体" w:cs="黑体"/>
          <w:b w:val="0"/>
          <w:bCs/>
          <w:sz w:val="32"/>
          <w:szCs w:val="32"/>
        </w:rPr>
      </w:pPr>
      <w:bookmarkStart w:id="3" w:name="heading_4"/>
      <w:r>
        <w:rPr>
          <w:rFonts w:hint="default" w:ascii="黑体" w:hAnsi="黑体" w:eastAsia="黑体" w:cs="黑体"/>
          <w:b w:val="0"/>
          <w:bCs/>
          <w:sz w:val="32"/>
          <w:szCs w:val="32"/>
        </w:rPr>
        <w:t xml:space="preserve">第五章 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黑体" w:hAnsi="黑体" w:eastAsia="黑体" w:cs="黑体"/>
          <w:b w:val="0"/>
          <w:bCs/>
          <w:sz w:val="32"/>
          <w:szCs w:val="32"/>
        </w:rPr>
        <w:t>监督管理</w:t>
      </w:r>
      <w:bookmarkEnd w:id="3"/>
    </w:p>
    <w:p w14:paraId="1488E8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</w:rPr>
        <w:t>第十四条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创业基金专门账户由学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财务处进行管理和核算，实行专款专用、单独核算，严禁挪作他用、截留、挤占；财务处定期向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创业基金管理办公室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提供基金财务情况报表。</w:t>
      </w:r>
    </w:p>
    <w:p w14:paraId="5B1DAA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</w:rPr>
        <w:t>第十五条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创业基金管理办公室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对受资助项目的资金使用情况、项目进展情况进行跟踪监督，对资金使用不规范、项目进展缓慢的，及时督促整改，整改不到位的，暂停资金拨付，情节严重的，收回已拨付资金。</w:t>
      </w:r>
    </w:p>
    <w:p w14:paraId="01A5EB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</w:rPr>
        <w:t>第十六条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接受资助的创业团队，应按季度向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创业基金管理办公室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提交资金使用情况报表、项目进展报告，每年提交年度总结报告及财务报表；项目终止或完成后，需在15个工作日内提交资金使用结算报告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及绩效报告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，说明资金使用情况、项目成果及后续计划。</w:t>
      </w:r>
    </w:p>
    <w:p w14:paraId="1E6DEC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</w:rPr>
        <w:t>第十七条</w:t>
      </w:r>
      <w:r>
        <w:rPr>
          <w:rFonts w:hint="default" w:ascii="楷体_GB2312" w:hAnsi="楷体_GB2312" w:eastAsia="楷体_GB2312" w:cs="楷体_GB2312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创业基金的管理工作接受学院纪检监察室、师生、社会及省级相关主管部门的监督。任何单位或个人发现基金管理人员有滥用职权、玩忽职守、徇私舞弊等行为的，可向学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纪检监察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举报。经查属实的，由学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依法依规处理；构成犯罪的，移送司法机关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02BB5F1">
      <w:pPr>
        <w:spacing w:before="0" w:beforeLines="100" w:after="0" w:afterLines="100" w:line="600" w:lineRule="exact"/>
        <w:ind w:left="0"/>
        <w:jc w:val="center"/>
        <w:outlineLvl w:val="0"/>
        <w:rPr>
          <w:rFonts w:hint="default" w:ascii="黑体" w:hAnsi="黑体" w:eastAsia="黑体" w:cs="黑体"/>
          <w:b w:val="0"/>
          <w:bCs/>
          <w:sz w:val="32"/>
          <w:szCs w:val="32"/>
        </w:rPr>
      </w:pPr>
      <w:bookmarkStart w:id="4" w:name="heading_5"/>
      <w:r>
        <w:rPr>
          <w:rFonts w:hint="default" w:ascii="黑体" w:hAnsi="黑体" w:eastAsia="黑体" w:cs="黑体"/>
          <w:b w:val="0"/>
          <w:bCs/>
          <w:sz w:val="32"/>
          <w:szCs w:val="32"/>
        </w:rPr>
        <w:t>第六章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黑体" w:hAnsi="黑体" w:eastAsia="黑体" w:cs="黑体"/>
          <w:b w:val="0"/>
          <w:bCs/>
          <w:sz w:val="32"/>
          <w:szCs w:val="32"/>
        </w:rPr>
        <w:t xml:space="preserve"> 附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黑体" w:hAnsi="黑体" w:eastAsia="黑体" w:cs="黑体"/>
          <w:b w:val="0"/>
          <w:bCs/>
          <w:sz w:val="32"/>
          <w:szCs w:val="32"/>
        </w:rPr>
        <w:t>则</w:t>
      </w:r>
      <w:bookmarkEnd w:id="4"/>
    </w:p>
    <w:p w14:paraId="22F6C4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</w:rPr>
        <w:t>第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十八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本办法由湖南商务职业技术学院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创业书院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负责解释。</w:t>
      </w:r>
    </w:p>
    <w:p w14:paraId="7034AC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</w:rPr>
        <w:t>第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十九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本办法自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发布</w:t>
      </w:r>
      <w:bookmarkStart w:id="5" w:name="_GoBack"/>
      <w:bookmarkEnd w:id="5"/>
      <w:r>
        <w:rPr>
          <w:rFonts w:hint="default" w:ascii="Times New Roman" w:hAnsi="Times New Roman" w:eastAsia="仿宋_GB2312" w:cs="Times New Roman"/>
          <w:sz w:val="32"/>
          <w:szCs w:val="32"/>
        </w:rPr>
        <w:t>之日起施行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，原《湖南商务职业技术学院大学生创业基金管理办法》（湘商职院发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2016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54号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）同时废止。</w:t>
      </w:r>
    </w:p>
    <w:sectPr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13F454-A371-4A87-B993-1BE9574823D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B962B28-B10A-43E5-A807-677DE1D20711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DFD150D-851B-4CA8-BB51-5BFD1F6CC5D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B35DE0A-D40F-489C-ACEF-F3C7430A869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F769FA0E-352E-45BC-A85A-684AA743F95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7828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9A445">
                          <w:pPr>
                            <w:pStyle w:val="3"/>
                            <w:rPr>
                              <w:rFonts w:ascii="宋体" w:hAnsi="宋体" w:eastAsia="宋体"/>
                              <w:sz w:val="22"/>
                              <w:szCs w:val="1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2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2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2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2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2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A9A445">
                    <w:pPr>
                      <w:pStyle w:val="3"/>
                      <w:rPr>
                        <w:rFonts w:ascii="宋体" w:hAnsi="宋体" w:eastAsia="宋体"/>
                        <w:sz w:val="22"/>
                        <w:szCs w:val="18"/>
                      </w:rPr>
                    </w:pPr>
                    <w:r>
                      <w:rPr>
                        <w:rFonts w:ascii="宋体" w:hAnsi="宋体" w:eastAsia="宋体"/>
                        <w:sz w:val="22"/>
                        <w:szCs w:val="1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2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2"/>
                        <w:szCs w:val="1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2"/>
                        <w:szCs w:val="1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2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2BAB0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5B65D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5B65D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revisionView w:markup="0"/>
  <w:trackRevisions w:val="1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xN2YzODNjNGViMDdjZTMyNTZlMmJkYTY2NTQ3ZGEifQ=="/>
  </w:docVars>
  <w:rsids>
    <w:rsidRoot w:val="00000000"/>
    <w:rsid w:val="013B0DE8"/>
    <w:rsid w:val="016814B1"/>
    <w:rsid w:val="02BA5D3C"/>
    <w:rsid w:val="03D40D58"/>
    <w:rsid w:val="03D567D9"/>
    <w:rsid w:val="0404728D"/>
    <w:rsid w:val="062C692E"/>
    <w:rsid w:val="0D125376"/>
    <w:rsid w:val="14700951"/>
    <w:rsid w:val="15F46E3E"/>
    <w:rsid w:val="15FF1F8C"/>
    <w:rsid w:val="165E0635"/>
    <w:rsid w:val="17E8444C"/>
    <w:rsid w:val="18A961DF"/>
    <w:rsid w:val="1C8F4B08"/>
    <w:rsid w:val="1E171E3D"/>
    <w:rsid w:val="1EF70EA3"/>
    <w:rsid w:val="229771B1"/>
    <w:rsid w:val="23DC390D"/>
    <w:rsid w:val="24831FDA"/>
    <w:rsid w:val="26A57338"/>
    <w:rsid w:val="284E28FF"/>
    <w:rsid w:val="2A534589"/>
    <w:rsid w:val="2C88086F"/>
    <w:rsid w:val="32753372"/>
    <w:rsid w:val="373A29CC"/>
    <w:rsid w:val="3A4B228D"/>
    <w:rsid w:val="3A575643"/>
    <w:rsid w:val="3ADF0126"/>
    <w:rsid w:val="3B471B5C"/>
    <w:rsid w:val="3C7050E2"/>
    <w:rsid w:val="484E424A"/>
    <w:rsid w:val="48C37BB8"/>
    <w:rsid w:val="4B2508A1"/>
    <w:rsid w:val="4D1473C4"/>
    <w:rsid w:val="51563A00"/>
    <w:rsid w:val="52CA0C50"/>
    <w:rsid w:val="53960D09"/>
    <w:rsid w:val="5641747C"/>
    <w:rsid w:val="5C9D7700"/>
    <w:rsid w:val="5C9E37EE"/>
    <w:rsid w:val="611F2AAF"/>
    <w:rsid w:val="662E75B1"/>
    <w:rsid w:val="753614EA"/>
    <w:rsid w:val="76EA516E"/>
    <w:rsid w:val="77440722"/>
    <w:rsid w:val="77E86AC9"/>
    <w:rsid w:val="7860062B"/>
    <w:rsid w:val="78B67D17"/>
    <w:rsid w:val="79592A98"/>
    <w:rsid w:val="7A6C06BC"/>
    <w:rsid w:val="7DE9575C"/>
    <w:rsid w:val="7DFF60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1679f335-3ecb-4d0c-b1eb-958b54203569</errorID>
      <errorWord>学校办学特色</errorWord>
      <group>L1_Word</group>
      <groupName>字词问题</groupName>
      <ability>L2_Typo</ability>
      <abilityName>字词错误</abilityName>
      <candidateList>
        <item>办学特色</item>
      </candidateList>
      <explain/>
      <paraID>4D40AF59</paraID>
      <start>14</start>
      <end>20</end>
      <status>ignored</status>
      <modifiedWord/>
      <trackRevisions>false</trackRevisions>
    </reviewItem>
    <reviewItem>
      <errorID>ae9dfe1f-fc0f-4017-9c99-32c7f3e8f2fa</errorID>
      <errorWord>的</errorWord>
      <group>L1_Word</group>
      <groupName>字词问题</groupName>
      <ability>L2_Typo</ability>
      <abilityName>字词错误</abilityName>
      <candidateList>
        <item>等</item>
      </candidateList>
      <explain/>
      <paraID>53CC1D23</paraID>
      <start>54</start>
      <end>55</end>
      <status>ignored</status>
      <modifiedWord/>
      <trackRevisions>false</trackRevisions>
    </reviewItem>
    <reviewItem>
      <errorID>7401a50d-7829-4d40-81ed-82698db28d91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4962827C</paraID>
      <start>25</start>
      <end>30</end>
      <status>ignored</status>
      <modifiedWord/>
      <trackRevisions>false</trackRevisions>
    </reviewItem>
    <reviewItem>
      <errorID>2d0a9f89-7d81-4880-a8ae-e49b01df279a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 E6A8298</paraID>
      <start>43</start>
      <end>44</end>
      <status>ignored</status>
      <modifiedWord/>
      <trackRevisions>false</trackRevisions>
    </reviewItem>
    <reviewItem>
      <errorID>b438c2e3-8d8a-4172-af49-e5bb0fe50a80</errorID>
      <errorWord>。</errorWord>
      <group>L1_Punc</group>
      <groupName>标点问题</groupName>
      <ability>L2_Punc</ability>
      <abilityName>标点符号检查</abilityName>
      <candidateList>
        <item>：</item>
      </candidateList>
      <explain/>
      <paraID>7F9DBEF8</paraID>
      <start>36</start>
      <end>37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7acdd3-5055-4d27-9a24-7fd9cb35ec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3481</Words>
  <Characters>3528</Characters>
  <TotalTime>7</TotalTime>
  <ScaleCrop>false</ScaleCrop>
  <LinksUpToDate>false</LinksUpToDate>
  <CharactersWithSpaces>3648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2026-04-13T03:37:00Z</dcterms:created>
  <dc:creator>Apache POI</dc:creator>
  <cp:lastModifiedBy>丹青</cp:lastModifiedBy>
  <dcterms:modified xsi:type="dcterms:W3CDTF">2026-05-14T01:00:37Z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0276023FBD0E405EA15823CAC6636D06_13</vt:lpwstr>
  </property>
  <property fmtid="{D5CDD505-2E9C-101B-9397-08002B2CF9AE}" pid="4" name="KSOTemplateDocerSaveRecord">
    <vt:lpwstr>eyJoZGlkIjoiNDE2OTNhYzg5M2RkNzdjMDVhZTcyNzdjMjM0NzExNTYiLCJ1c2VySWQiOiIyOTQwODY3MTAifQ==</vt:lpwstr>
  </property>
</Properties>
</file>